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68b3295db4ab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46760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ZAVOD ZA HITNU MEDICINU SISAČKO - MOSLAVAČKE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13.146.538,65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14.642.172,00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11.419.509,98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13.599.544,46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1.727.028,67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1.042.627,54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1.494.832,48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1.560.778,27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1.494.832,48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1.553.413,27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510.785,73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1.      Uvod</w:t>
      </w:r>
    </w:p>
    <w:p>
      <w:r>
        <w:t xml:space="preserve">Županijska skupština Sisačko – moslavačke županije donijela je na svojoj 13. sjednici održanoj dana 21. veljače 2011. godine Odluku o osnivanju Zavoda za hitnu medicinu Sisačko – moslavačke županije. Zavod je upisan u sudski registar pod MBS 080770242 dana 22. srpnja 2011. godine.</w:t>
      </w:r>
    </w:p>
    <w:p>
      <w:r>
        <w:t xml:space="preserve">Nakon obavljenih pripremnih radnji i dobivanja potrebnih suglasnosti, Zavod je počeo s radom 1. srpnja 2012. godine.</w:t>
      </w:r>
    </w:p>
    <w:p>
      <w:r>
        <w:t xml:space="preserve">Zavod temeljem ugovora s HZZO-om raspolaže s 35 timova T1 hitne medicine i to u Sisku - 10 timova, Petrinji – 5 timova, Kutini – 5 timova, Novskoj – 5 timova, Glini - 5 timova i Hrvatskoj Kostajnici - 5 timova i 15 timova T2: u Sisku – 5 timova, Sunji – 5 timova , Popovači – 5 timova, Kutini – 5 timova, Dvoru – 5 timova, Topuskom – 5 timova te 20 timova sanitetskog prijevoza, 5 timova MPDJ i 1 tim pripravnosti za hitni medicinski prijevoz.</w:t>
      </w:r>
    </w:p>
    <w:p>
      <w:r>
        <w:t xml:space="preserve"> </w:t>
      </w:r>
    </w:p>
    <w:p>
      <w:r>
        <w:t xml:space="preserve">2.      Obrazloženje programa i aktivnosti</w:t>
      </w:r>
    </w:p>
    <w:p>
      <w:r>
        <w:t xml:space="preserve"> </w:t>
      </w:r>
    </w:p>
    <w:p>
      <w:r>
        <w:t xml:space="preserve">Financijskim planom planirana su sredstva za provođenje programa:</w:t>
      </w:r>
    </w:p>
    <w:p>
      <w:r>
        <w:t xml:space="preserve">šifra 1001: Redovna djelatnost Zavoda za hitnu medicinu - ovaj program provodi se kroz aktivnost</w:t>
      </w:r>
    </w:p>
    <w:p>
      <w:r>
        <w:t xml:space="preserve">     A100001 Provođenje zdravstvene zaštite</w:t>
      </w:r>
    </w:p>
    <w:p>
      <w:r>
        <w:t xml:space="preserve"> </w:t>
      </w:r>
    </w:p>
    <w:p>
      <w:r>
        <w:t xml:space="preserve">šifra 1002: Javne potrebe u zdravstvu - ovaj program provodi se kroz aktivnosti</w:t>
      </w:r>
    </w:p>
    <w:p>
      <w:r>
        <w:t xml:space="preserve">     A100001 Intervencijsko zbrinjavanje akutnog miokarda – ACS</w:t>
      </w:r>
    </w:p>
    <w:p>
      <w:r>
        <w:t xml:space="preserve">     A100003 Povećani zdravstveni standard</w:t>
      </w:r>
    </w:p>
    <w:p>
      <w:r>
        <w:t xml:space="preserve"> </w:t>
      </w:r>
    </w:p>
    <w:p>
      <w:r>
        <w:t xml:space="preserve">šifra 1003: Minimalni financijski standard - ovaj program provodi se kroz aktivnosti</w:t>
      </w:r>
    </w:p>
    <w:p>
      <w:r>
        <w:t xml:space="preserve">     A100001 Financiranje održavanja zdravstvenih ustanova</w:t>
      </w:r>
    </w:p>
    <w:p>
      <w:r>
        <w:t xml:space="preserve">     A100002 Financiranje ulaganja u zdravstvene ustanove</w:t>
      </w:r>
    </w:p>
    <w:p>
      <w:r>
        <w:t xml:space="preserve"> </w:t>
      </w:r>
    </w:p>
    <w:p>
      <w:r>
        <w:t xml:space="preserve">3.      Zakonske i druge pravne osnove</w:t>
      </w:r>
    </w:p>
    <w:p>
      <w:r>
        <w:t xml:space="preserve">Program i aktivnosti Zavoda za hitnu medicinu provode se temeljem Zakona o obveznom zdravstvenom osiguranju, Odluke o osnovama za sklapanje ugovora o provođenju zdravstvene zaštite iz obveznog zdravstvenog osiguranja i Zakona o zdravstvenoj zaštiti. Financijska izvješća za razdoblje siječanj – ožujak 2025. sastavljena su sukladno odredbama Zakona o proračunu, Pravilnika o proračunskim klasifikacijama, Pravilnika o proračunskom računovodstvu i računskom planu te Pravilnika o financijskom izvještavanju u proračunskom računovodstvu.</w:t>
      </w:r>
    </w:p>
    <w:p>
      <w:r>
        <w:t xml:space="preserve"> </w:t>
      </w:r>
    </w:p>
    <w:p>
      <w:r>
        <w:t xml:space="preserve">4.      Tijela ustanove</w:t>
      </w:r>
    </w:p>
    <w:p>
      <w:r>
        <w:t xml:space="preserve"> </w:t>
      </w:r>
    </w:p>
    <w:p>
      <w:r>
        <w:t xml:space="preserve">U razdoblju izvješćivanja tijela ustanove su:</w:t>
      </w:r>
    </w:p>
    <w:p>
      <w:r>
        <w:t xml:space="preserve">Upravno vijeće</w:t>
      </w:r>
    </w:p>
    <w:p>
      <w:r>
        <w:t xml:space="preserve"> Predsjednik/ca</w:t>
      </w:r>
    </w:p>
    <w:p>
      <w:r>
        <w:t xml:space="preserve"> Ivanka Roksandić</w:t>
      </w:r>
    </w:p>
    <w:p>
      <w:r>
        <w:t xml:space="preserve"> </w:t>
      </w:r>
    </w:p>
    <w:p>
      <w:r>
        <w:t xml:space="preserve">  Članovi</w:t>
      </w:r>
    </w:p>
    <w:p>
      <w:r>
        <w:t xml:space="preserve">Zdravko Bobetko</w:t>
      </w:r>
    </w:p>
    <w:p>
      <w:r>
        <w:t xml:space="preserve">Marijana Klobučar Bobetko</w:t>
      </w:r>
    </w:p>
    <w:p>
      <w:r>
        <w:t xml:space="preserve">Luka Davidović</w:t>
      </w:r>
    </w:p>
    <w:p>
      <w:r>
        <w:t xml:space="preserve">Hrvoje Vitković</w:t>
      </w:r>
    </w:p>
    <w:p>
      <w:r>
        <w:t xml:space="preserve">Matija Kežman</w:t>
      </w:r>
    </w:p>
    <w:p>
      <w:r>
        <w:t xml:space="preserve">Luka Pejčić</w:t>
      </w:r>
    </w:p>
    <w:p>
      <w:r>
        <w:t xml:space="preserve"> </w:t>
      </w:r>
    </w:p>
    <w:p>
      <w:r>
        <w:t xml:space="preserve">Ravnateljica Silvija Desić Basarić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12.377.624,67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13.790.656,17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</w:tbl>
    <w:p>
      <w:pPr>
        <w:spacing w:before="0" w:after="0"/>
      </w:pPr>
    </w:p>
    <w:p>
      <w:r>
        <w:t xml:space="preserve">Prihod po ugovoru s HZZO-om prihod iz nadležnog proračuna i od HZZO-a na temelju ugovornih obaveza ostvaren je u iznosu 13.790.656,17eura što je 11,4 % više u odnosu na prethodnu godinu. Izraženo povećanje prihoda od HZZO-a odnosi se na Odluku Vlade RH o povećanju osnovice za obračun plaće državnih službenika i namještenika kojim je prosječan rast plaće vidljiv i na prihodima iz kojih se iste financiraju.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11.210.695,67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12.684.570,17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</w:tbl>
    <w:p>
      <w:pPr>
        <w:spacing w:before="0" w:after="0"/>
      </w:pPr>
    </w:p>
    <w:p>
      <w:r>
        <w:t xml:space="preserve">Prihod po ugovoru s HZZO-om prihod iz nadležnog proračuna i od HZZO-a na temelju ugovornih obaveza ostvaren je u iznosu 12.684.570,17 što je 13,1% više u odnosu na prethodnu godinu. Izraženo povećanje prihoda od HZZO-a odnosi se na Odluku Vlade RH o povećanju osnovice za obračun plaće državnih službenika i namještenika kojim je prosječan rast plaće vidljiv i na prihodima iz kojih se iste financiraju.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11.419.509,98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13.599.544,46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Ukupni rashodi poslovanja povećani su za 19,1 % i iznose 13.599.544,46 eura, a rezultat su povećanja rashoda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9.581.044,69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11.552.427,83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Povećanje rashoda za zaposlene je za 20,6% i odnosi se na Odluku Vlade RH o povećanju osnovice za obračun plaće državnih službenika i namještenika kojim je prosječan rast plaće vidljiv i na prihodima iz kojih se iste financiraju, te na povećanje plaća za prekovremeni rad uslijed nedostajućeg kadra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od prodaje nefinancijske imovine odnose se na prodaju 9 polovnih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1.494.832,48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1.560.778,27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104,4</w:t>
            </w:r>
          </w:p>
        </w:tc>
      </w:tr>
    </w:tbl>
    <w:p>
      <w:pPr>
        <w:spacing w:before="0" w:after="0"/>
      </w:pPr>
    </w:p>
    <w:p>
      <w:r>
        <w:t xml:space="preserve">Ukupni rashodi za nabavu nefinancijske imovine nešto su veći su veći u odnosu na isto razdoblje prethodne godine, a iznose 1.560.778,27 eura i većinskim se dijelom odnose na nabavu prijevoznih sredstava sanitetskih vozila i vozila hitne medicinske pomoći, te medicinske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1.494.832,48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1.553.413,27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</w:tbl>
    <w:p>
      <w:pPr>
        <w:spacing w:before="0" w:after="0"/>
      </w:pPr>
    </w:p>
    <w:p>
      <w:r>
        <w:t xml:space="preserve">Za razdoblje 01.01.-31.12.2025. ostvaren je manjak prihoda od nefinancijske imovine u iznosu 1.553.413,27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periodu 01.01.-31.12.2025. Ustanova se nije zaduživala.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periodu 01.01.-31.12.2025. Ustanova nije izdavala zajmove niti jamstva.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510.785,73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u izvještajnom razdoblju iznosi 510.785,73 euro, a djelomično je pokriven prenesenim viškom u iznosu 291.823,26 eura te se manjak prihoda i primitaka u iznosu 218.962,47 eura prenosi za pokriće u narednom razdoblju.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10.873,73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depozite i jamčevne pologe iznose 10.873,73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1.030.911,42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ukupnih obveza na dan 31.12.2025. iznosi 1.030.911,42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7.414,57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7.414,57 eura, dok nedospjelih na datum izvješća iznosi 1.023.496,85 eura.</w:t>
      </w:r>
    </w:p>
    <w:p>
      <w:r>
        <w:t xml:space="preserve">Stanje ukupnih obveza na dan 31.12.2025. iznosi 1.030.911,42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8c50ac62774d88" /></Relationships>
</file>