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E33" w:rsidRDefault="00000000">
      <w:pPr>
        <w:jc w:val="center"/>
        <w:rPr>
          <w:rFonts w:asciiTheme="minorHAnsi" w:hAnsiTheme="minorHAnsi" w:cstheme="minorHAnsi"/>
          <w:b/>
        </w:rPr>
      </w:pPr>
      <w:r>
        <w:rPr>
          <w:noProof/>
        </w:rPr>
        <w:drawing>
          <wp:inline distT="0" distB="0" distL="0" distR="0">
            <wp:extent cx="4769485" cy="753110"/>
            <wp:effectExtent l="0" t="0" r="0" b="8890"/>
            <wp:docPr id="2" name="Slika 1" descr="C:\Users\Korisnik\Nova mapa\Desktop\Memorandum uzglavl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C:\Users\Korisnik\Nova mapa\Desktop\Memorandum uzglavlje.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4769485" cy="753110"/>
                    </a:xfrm>
                    <a:prstGeom prst="rect">
                      <a:avLst/>
                    </a:prstGeom>
                    <a:noFill/>
                    <a:ln>
                      <a:noFill/>
                    </a:ln>
                  </pic:spPr>
                </pic:pic>
              </a:graphicData>
            </a:graphic>
          </wp:inline>
        </w:drawing>
      </w:r>
    </w:p>
    <w:p w:rsidR="00373E33" w:rsidRDefault="00373E33">
      <w:pPr>
        <w:jc w:val="center"/>
        <w:rPr>
          <w:rFonts w:asciiTheme="minorHAnsi" w:hAnsiTheme="minorHAnsi" w:cstheme="minorHAnsi"/>
          <w:b/>
        </w:rPr>
      </w:pPr>
    </w:p>
    <w:p w:rsidR="00373E33" w:rsidRDefault="00373E33">
      <w:pPr>
        <w:jc w:val="center"/>
        <w:rPr>
          <w:rFonts w:asciiTheme="minorHAnsi" w:hAnsiTheme="minorHAnsi" w:cstheme="minorHAnsi"/>
          <w:b/>
        </w:rPr>
      </w:pPr>
    </w:p>
    <w:p w:rsidR="00373E33" w:rsidRDefault="00000000">
      <w:pPr>
        <w:jc w:val="center"/>
        <w:rPr>
          <w:rFonts w:asciiTheme="minorHAnsi" w:hAnsiTheme="minorHAnsi" w:cstheme="minorHAnsi"/>
          <w:b/>
          <w:sz w:val="28"/>
          <w:szCs w:val="28"/>
        </w:rPr>
      </w:pPr>
      <w:r>
        <w:rPr>
          <w:rFonts w:asciiTheme="minorHAnsi" w:hAnsiTheme="minorHAnsi" w:cstheme="minorHAnsi"/>
          <w:b/>
          <w:sz w:val="28"/>
          <w:szCs w:val="28"/>
        </w:rPr>
        <w:t>Prilog br.1. Pravilnika</w:t>
      </w:r>
    </w:p>
    <w:p w:rsidR="00373E33" w:rsidRDefault="00000000">
      <w:pPr>
        <w:jc w:val="center"/>
        <w:rPr>
          <w:rFonts w:asciiTheme="minorHAnsi" w:hAnsiTheme="minorHAnsi" w:cstheme="minorHAnsi"/>
          <w:b/>
          <w:sz w:val="28"/>
          <w:szCs w:val="28"/>
        </w:rPr>
      </w:pPr>
      <w:r>
        <w:rPr>
          <w:rFonts w:asciiTheme="minorHAnsi" w:hAnsiTheme="minorHAnsi" w:cstheme="minorHAnsi"/>
          <w:b/>
          <w:sz w:val="28"/>
          <w:szCs w:val="28"/>
        </w:rPr>
        <w:t>o testiranju na alkohol, droge i druga sredstva ovisnosti na radnom mjestu</w:t>
      </w: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373E33">
      <w:pPr>
        <w:jc w:val="center"/>
        <w:rPr>
          <w:rFonts w:asciiTheme="minorHAnsi" w:hAnsiTheme="minorHAnsi" w:cstheme="minorHAnsi"/>
          <w:bCs/>
        </w:rPr>
      </w:pPr>
    </w:p>
    <w:p w:rsidR="00373E33" w:rsidRDefault="00000000">
      <w:pPr>
        <w:jc w:val="center"/>
        <w:rPr>
          <w:rFonts w:asciiTheme="minorHAnsi" w:hAnsiTheme="minorHAnsi" w:cstheme="minorHAnsi"/>
          <w:b/>
        </w:rPr>
      </w:pPr>
      <w:r>
        <w:rPr>
          <w:rFonts w:asciiTheme="minorHAnsi" w:hAnsiTheme="minorHAnsi" w:cstheme="minorHAnsi"/>
          <w:b/>
        </w:rPr>
        <w:t>POSTUPOVNIK</w:t>
      </w:r>
      <w:r>
        <w:rPr>
          <w:rFonts w:asciiTheme="minorHAnsi" w:hAnsiTheme="minorHAnsi" w:cstheme="minorHAnsi"/>
          <w:b/>
        </w:rPr>
        <w:br/>
        <w:t>ZA TESTIRANJE NA PRISUTNOST ALKOHOLA U ORGANIZMU NA RADNOM MJESTU</w:t>
      </w:r>
    </w:p>
    <w:p w:rsidR="00373E33" w:rsidRDefault="00373E33">
      <w:pPr>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Default="00373E33">
      <w:pPr>
        <w:jc w:val="right"/>
        <w:rPr>
          <w:rFonts w:asciiTheme="minorHAnsi" w:hAnsiTheme="minorHAnsi" w:cstheme="minorHAnsi"/>
          <w:bCs/>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lastRenderedPageBreak/>
        <w:t>Članak 1.</w:t>
      </w:r>
    </w:p>
    <w:p w:rsidR="00373E33" w:rsidRPr="0057052C" w:rsidRDefault="00373E33">
      <w:pPr>
        <w:rPr>
          <w:rFonts w:asciiTheme="minorHAnsi" w:hAnsiTheme="minorHAnsi" w:cstheme="minorHAnsi"/>
          <w:bCs/>
          <w:sz w:val="22"/>
          <w:szCs w:val="22"/>
        </w:rPr>
      </w:pP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Ovim POSTUPOVNIKOM propisuje se način utvrđivanja prisutnosti alkohola u organizmu radnika tijekom radnog vremena i na radnom mjestu, uključujući postupak testiranja, evidentiranja i postupanja u slučaju pozitivnog nalaza.</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2.</w:t>
      </w:r>
    </w:p>
    <w:p w:rsidR="00373E33" w:rsidRPr="0057052C" w:rsidRDefault="00373E33">
      <w:pPr>
        <w:rPr>
          <w:rFonts w:asciiTheme="minorHAnsi" w:hAnsiTheme="minorHAnsi" w:cstheme="minorHAnsi"/>
          <w:bCs/>
          <w:sz w:val="22"/>
          <w:szCs w:val="22"/>
        </w:rPr>
      </w:pP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 xml:space="preserve">Pod pojmom </w:t>
      </w:r>
      <w:r w:rsidRPr="0057052C">
        <w:rPr>
          <w:rFonts w:asciiTheme="minorHAnsi" w:hAnsiTheme="minorHAnsi" w:cstheme="minorHAnsi"/>
          <w:bCs/>
          <w:i/>
          <w:iCs/>
          <w:sz w:val="22"/>
          <w:szCs w:val="22"/>
        </w:rPr>
        <w:t>alkohol</w:t>
      </w:r>
      <w:r w:rsidRPr="0057052C">
        <w:rPr>
          <w:rFonts w:asciiTheme="minorHAnsi" w:hAnsiTheme="minorHAnsi" w:cstheme="minorHAnsi"/>
          <w:bCs/>
          <w:sz w:val="22"/>
          <w:szCs w:val="22"/>
        </w:rPr>
        <w:t xml:space="preserve"> podrazumijeva se svaka vrsta alkoholnog pića.</w:t>
      </w: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 xml:space="preserve">Stanjem </w:t>
      </w:r>
      <w:r w:rsidRPr="0057052C">
        <w:rPr>
          <w:rFonts w:asciiTheme="minorHAnsi" w:hAnsiTheme="minorHAnsi" w:cstheme="minorHAnsi"/>
          <w:bCs/>
          <w:i/>
          <w:iCs/>
          <w:sz w:val="22"/>
          <w:szCs w:val="22"/>
        </w:rPr>
        <w:t>pod utjecajem alkohola</w:t>
      </w:r>
      <w:r w:rsidRPr="0057052C">
        <w:rPr>
          <w:rFonts w:asciiTheme="minorHAnsi" w:hAnsiTheme="minorHAnsi" w:cstheme="minorHAnsi"/>
          <w:bCs/>
          <w:sz w:val="22"/>
          <w:szCs w:val="22"/>
        </w:rPr>
        <w:t xml:space="preserve"> smatra se stanje u kojem izmjerena vrijednost alkohola u izdahnutom zraku prelazi 0,0 mg/l, odnosno više od 0,0 g/kg u krvi.</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3.</w:t>
      </w:r>
    </w:p>
    <w:p w:rsidR="00373E33" w:rsidRPr="0057052C" w:rsidRDefault="00373E33">
      <w:pPr>
        <w:rPr>
          <w:rFonts w:asciiTheme="minorHAnsi" w:hAnsiTheme="minorHAnsi" w:cstheme="minorHAnsi"/>
          <w:bCs/>
          <w:sz w:val="22"/>
          <w:szCs w:val="22"/>
        </w:rPr>
      </w:pP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Redovno testiranje alkoholiziranosti može se provoditi kao preventivna mjera u nenajavljeno vrijeme, na mjestima rada i u terminima koje prema vlastitoj procjeni odredi ravnatelj Zavoda, ovlaštena osoba ili voditelj ustrojstvene jedinice u kojoj radnik obavlja poslove.</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Izvanredno testiranje provodi se po potrebi – osobito ako je radnik zatečen u konzumaciji alkoholnih pića ili ako njegovo ponašanje upućuje na sumnju u konzumaciju alkohola.</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Testiranje se obavlja i u slučaju ozljede na radu, odnosno kada okolnosti to zahtijevaju.</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4.</w:t>
      </w:r>
    </w:p>
    <w:p w:rsidR="00373E33" w:rsidRPr="0057052C" w:rsidRDefault="00373E33">
      <w:pPr>
        <w:rPr>
          <w:rFonts w:asciiTheme="minorHAnsi" w:hAnsiTheme="minorHAnsi" w:cstheme="minorHAnsi"/>
          <w:bCs/>
          <w:sz w:val="22"/>
          <w:szCs w:val="22"/>
        </w:rPr>
      </w:pPr>
    </w:p>
    <w:p w:rsidR="00373E33" w:rsidRPr="0057052C" w:rsidRDefault="00000000">
      <w:pPr>
        <w:jc w:val="both"/>
        <w:rPr>
          <w:rFonts w:asciiTheme="minorHAnsi" w:hAnsiTheme="minorHAnsi" w:cstheme="minorHAnsi"/>
          <w:b/>
          <w:color w:val="212121"/>
          <w:sz w:val="22"/>
          <w:szCs w:val="22"/>
        </w:rPr>
      </w:pPr>
      <w:r w:rsidRPr="0057052C">
        <w:rPr>
          <w:rFonts w:asciiTheme="minorHAnsi" w:hAnsiTheme="minorHAnsi" w:cstheme="minorHAnsi"/>
          <w:bCs/>
          <w:sz w:val="22"/>
          <w:szCs w:val="22"/>
        </w:rPr>
        <w:t>Ovaj POSTUPOVNIK primjenjuje se na sve radnike Zavoda za hitnu medicinu Sisačko-moslavačke županije (u daljnjem tekstu: Zavod), zaposlene temeljem ugovora o radu</w:t>
      </w:r>
      <w:r w:rsidR="007339AE" w:rsidRPr="0057052C">
        <w:rPr>
          <w:rFonts w:asciiTheme="minorHAnsi" w:hAnsiTheme="minorHAnsi" w:cstheme="minorHAnsi"/>
          <w:bCs/>
          <w:sz w:val="22"/>
          <w:szCs w:val="22"/>
        </w:rPr>
        <w:t>.</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5.</w:t>
      </w:r>
    </w:p>
    <w:p w:rsidR="00373E33" w:rsidRPr="0057052C" w:rsidRDefault="00373E33">
      <w:pPr>
        <w:jc w:val="both"/>
        <w:rPr>
          <w:rFonts w:asciiTheme="minorHAnsi" w:hAnsiTheme="minorHAnsi" w:cstheme="minorHAnsi"/>
          <w:bCs/>
          <w:sz w:val="22"/>
          <w:szCs w:val="22"/>
        </w:rPr>
      </w:pP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 xml:space="preserve">Za provođenje testiranja koristi se uređaj </w:t>
      </w:r>
      <w:proofErr w:type="spellStart"/>
      <w:r w:rsidR="00AA30DF" w:rsidRPr="0057052C">
        <w:rPr>
          <w:rFonts w:asciiTheme="minorHAnsi" w:hAnsiTheme="minorHAnsi" w:cstheme="minorHAnsi"/>
          <w:bCs/>
          <w:sz w:val="22"/>
          <w:szCs w:val="22"/>
        </w:rPr>
        <w:t>Drager</w:t>
      </w:r>
      <w:proofErr w:type="spellEnd"/>
      <w:r w:rsidRPr="0057052C">
        <w:rPr>
          <w:rFonts w:asciiTheme="minorHAnsi" w:hAnsiTheme="minorHAnsi" w:cstheme="minorHAnsi"/>
          <w:bCs/>
          <w:sz w:val="22"/>
          <w:szCs w:val="22"/>
        </w:rPr>
        <w:t xml:space="preserve">, službene oznake tipa </w:t>
      </w:r>
      <w:r w:rsidR="00AA30DF" w:rsidRPr="0057052C">
        <w:rPr>
          <w:rFonts w:asciiTheme="minorHAnsi" w:hAnsiTheme="minorHAnsi" w:cstheme="minorHAnsi"/>
          <w:bCs/>
          <w:sz w:val="22"/>
          <w:szCs w:val="22"/>
        </w:rPr>
        <w:t>6810</w:t>
      </w:r>
      <w:r w:rsidRPr="0057052C">
        <w:rPr>
          <w:rFonts w:asciiTheme="minorHAnsi" w:hAnsiTheme="minorHAnsi" w:cstheme="minorHAnsi"/>
          <w:bCs/>
          <w:sz w:val="22"/>
          <w:szCs w:val="22"/>
        </w:rPr>
        <w:t>, koji mora biti redovito baždaren sukladno važećim propisima.</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Za korištenje, čuvanje i nadzor nad umjeravanjem uređaja odgovorne su osobe imenovane pisanom odlukom od strane poslodavca i osposobljena za provođenje provjere  je li radnik pod utjecajem alkohola.</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6.</w:t>
      </w:r>
    </w:p>
    <w:p w:rsidR="00373E33" w:rsidRPr="0057052C" w:rsidRDefault="00373E33">
      <w:pPr>
        <w:jc w:val="both"/>
        <w:rPr>
          <w:rFonts w:asciiTheme="minorHAnsi" w:hAnsiTheme="minorHAnsi" w:cstheme="minorHAnsi"/>
          <w:bCs/>
          <w:sz w:val="22"/>
          <w:szCs w:val="22"/>
        </w:rPr>
      </w:pP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Testiranje alkoholiziranosti provode osposobljeni i ovlašteni zaposlenici Zavoda.</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Ovlaštene osobe moraju biti posebno educirane za rukovanje instrumentom kojim se vrši provjera.</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Uz ovlaštenu osobu, testiranju mora nazočiti i svjedok kojeg ona odabere, a koji svojim potpisom potvrđuje zakonitost i vjerodostojnost postupka.</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7.</w:t>
      </w:r>
    </w:p>
    <w:p w:rsidR="00373E33" w:rsidRPr="0057052C" w:rsidRDefault="00373E33">
      <w:pPr>
        <w:rPr>
          <w:rFonts w:asciiTheme="minorHAnsi" w:hAnsiTheme="minorHAnsi" w:cstheme="minorHAnsi"/>
          <w:bCs/>
          <w:sz w:val="22"/>
          <w:szCs w:val="22"/>
        </w:rPr>
      </w:pP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Testiranje se provodi isključivo uz pristanak radnika.</w:t>
      </w:r>
    </w:p>
    <w:p w:rsidR="00373E33" w:rsidRPr="0057052C" w:rsidRDefault="00000000">
      <w:pPr>
        <w:jc w:val="both"/>
        <w:rPr>
          <w:rFonts w:asciiTheme="minorHAnsi" w:hAnsiTheme="minorHAnsi" w:cstheme="minorHAnsi"/>
          <w:bCs/>
          <w:color w:val="000000" w:themeColor="text1"/>
          <w:sz w:val="22"/>
          <w:szCs w:val="22"/>
        </w:rPr>
      </w:pPr>
      <w:r w:rsidRPr="0057052C">
        <w:rPr>
          <w:rFonts w:asciiTheme="minorHAnsi" w:hAnsiTheme="minorHAnsi" w:cstheme="minorHAnsi"/>
          <w:bCs/>
          <w:color w:val="000000" w:themeColor="text1"/>
          <w:sz w:val="22"/>
          <w:szCs w:val="22"/>
        </w:rPr>
        <w:t>Ako radnik odbije pristupiti testiranju, sukladno članku 59. Zakona o zaštiti na radu, smatrat će se da je pod utjecajem alkohola.</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Sam postupak testiranja mora se obaviti u zatvorenom prostoru ili službenom vozilu, uz poštivanje dostojanstva i privatnosti radnika.</w:t>
      </w:r>
    </w:p>
    <w:p w:rsidR="00373E33" w:rsidRPr="0057052C" w:rsidRDefault="00373E33">
      <w:pPr>
        <w:jc w:val="both"/>
        <w:rPr>
          <w:rFonts w:asciiTheme="minorHAnsi" w:hAnsiTheme="minorHAnsi" w:cstheme="minorHAnsi"/>
          <w:b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8.</w:t>
      </w:r>
    </w:p>
    <w:p w:rsidR="00373E33" w:rsidRPr="0057052C" w:rsidRDefault="00373E33">
      <w:pPr>
        <w:rPr>
          <w:rFonts w:asciiTheme="minorHAnsi" w:hAnsiTheme="minorHAnsi" w:cstheme="minorHAnsi"/>
          <w:bCs/>
          <w:sz w:val="22"/>
          <w:szCs w:val="22"/>
        </w:rPr>
      </w:pP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Prije početka testiranja, radnik mora biti upoznat s postupkom i svrhom provjere.</w:t>
      </w:r>
    </w:p>
    <w:p w:rsidR="00373E33" w:rsidRPr="0057052C" w:rsidRDefault="00000000" w:rsidP="007339AE">
      <w:pPr>
        <w:jc w:val="both"/>
        <w:rPr>
          <w:rFonts w:asciiTheme="minorHAnsi" w:hAnsiTheme="minorHAnsi" w:cstheme="minorHAnsi"/>
          <w:bCs/>
          <w:sz w:val="22"/>
          <w:szCs w:val="22"/>
        </w:rPr>
      </w:pPr>
      <w:r w:rsidRPr="0057052C">
        <w:rPr>
          <w:rFonts w:asciiTheme="minorHAnsi" w:hAnsiTheme="minorHAnsi" w:cstheme="minorHAnsi"/>
          <w:bCs/>
          <w:sz w:val="22"/>
          <w:szCs w:val="22"/>
        </w:rPr>
        <w:lastRenderedPageBreak/>
        <w:t>Imenovana osoba za provođenje postupka provjere je li radnik pod utjecajem alkohola ili drugih sredstva ovisnosti mora upozoriti radnika na prethodni stavak članka 7. prije provođenja testiranja.</w:t>
      </w: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Tijekom testiranja prisutni su ovlaštenik poslodavca koji provodi testiranje i svjedok kojeg on odredi.</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9.</w:t>
      </w:r>
    </w:p>
    <w:p w:rsidR="00373E33" w:rsidRPr="0057052C" w:rsidRDefault="00373E33">
      <w:pPr>
        <w:rPr>
          <w:rFonts w:asciiTheme="minorHAnsi" w:hAnsiTheme="minorHAnsi" w:cstheme="minorHAnsi"/>
          <w:bCs/>
          <w:sz w:val="22"/>
          <w:szCs w:val="22"/>
        </w:rPr>
      </w:pP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O tijeku i rezultatima testiranja sastavlja se Zapisnik o utvrđivanju prisutnosti alkohola u organizmu radnika, koji sadrži:</w:t>
      </w:r>
    </w:p>
    <w:p w:rsidR="00373E33" w:rsidRPr="0057052C" w:rsidRDefault="00000000">
      <w:pPr>
        <w:numPr>
          <w:ilvl w:val="0"/>
          <w:numId w:val="1"/>
        </w:numPr>
        <w:rPr>
          <w:rFonts w:asciiTheme="minorHAnsi" w:hAnsiTheme="minorHAnsi" w:cstheme="minorHAnsi"/>
          <w:bCs/>
          <w:sz w:val="22"/>
          <w:szCs w:val="22"/>
        </w:rPr>
      </w:pPr>
      <w:r w:rsidRPr="0057052C">
        <w:rPr>
          <w:rFonts w:asciiTheme="minorHAnsi" w:hAnsiTheme="minorHAnsi" w:cstheme="minorHAnsi"/>
          <w:bCs/>
          <w:sz w:val="22"/>
          <w:szCs w:val="22"/>
        </w:rPr>
        <w:t>osnovne podatke o ispitaniku,</w:t>
      </w:r>
    </w:p>
    <w:p w:rsidR="00373E33" w:rsidRPr="0057052C" w:rsidRDefault="00000000">
      <w:pPr>
        <w:numPr>
          <w:ilvl w:val="0"/>
          <w:numId w:val="1"/>
        </w:numPr>
        <w:rPr>
          <w:rFonts w:asciiTheme="minorHAnsi" w:hAnsiTheme="minorHAnsi" w:cstheme="minorHAnsi"/>
          <w:bCs/>
          <w:sz w:val="22"/>
          <w:szCs w:val="22"/>
        </w:rPr>
      </w:pPr>
      <w:r w:rsidRPr="0057052C">
        <w:rPr>
          <w:rFonts w:asciiTheme="minorHAnsi" w:hAnsiTheme="minorHAnsi" w:cstheme="minorHAnsi"/>
          <w:bCs/>
          <w:sz w:val="22"/>
          <w:szCs w:val="22"/>
        </w:rPr>
        <w:t>izjavu o pristanku ili odbijanju testiranja,</w:t>
      </w:r>
    </w:p>
    <w:p w:rsidR="00373E33" w:rsidRPr="0057052C" w:rsidRDefault="00000000">
      <w:pPr>
        <w:numPr>
          <w:ilvl w:val="0"/>
          <w:numId w:val="1"/>
        </w:numPr>
        <w:rPr>
          <w:rFonts w:asciiTheme="minorHAnsi" w:hAnsiTheme="minorHAnsi" w:cstheme="minorHAnsi"/>
          <w:bCs/>
          <w:sz w:val="22"/>
          <w:szCs w:val="22"/>
        </w:rPr>
      </w:pPr>
      <w:r w:rsidRPr="0057052C">
        <w:rPr>
          <w:rFonts w:asciiTheme="minorHAnsi" w:hAnsiTheme="minorHAnsi" w:cstheme="minorHAnsi"/>
          <w:bCs/>
          <w:sz w:val="22"/>
          <w:szCs w:val="22"/>
        </w:rPr>
        <w:t>podatke o korištenom instrumentu i uvjetima testiranja,</w:t>
      </w:r>
    </w:p>
    <w:p w:rsidR="00373E33" w:rsidRPr="0057052C" w:rsidRDefault="00000000">
      <w:pPr>
        <w:numPr>
          <w:ilvl w:val="0"/>
          <w:numId w:val="1"/>
        </w:numPr>
        <w:rPr>
          <w:rFonts w:asciiTheme="minorHAnsi" w:hAnsiTheme="minorHAnsi" w:cstheme="minorHAnsi"/>
          <w:bCs/>
          <w:sz w:val="22"/>
          <w:szCs w:val="22"/>
        </w:rPr>
      </w:pPr>
      <w:r w:rsidRPr="0057052C">
        <w:rPr>
          <w:rFonts w:asciiTheme="minorHAnsi" w:hAnsiTheme="minorHAnsi" w:cstheme="minorHAnsi"/>
          <w:bCs/>
          <w:sz w:val="22"/>
          <w:szCs w:val="22"/>
        </w:rPr>
        <w:t>rezultate mjerenja te okolnosti koje bi mogle utjecati na ishod testiranja.</w:t>
      </w:r>
    </w:p>
    <w:p w:rsidR="00373E33" w:rsidRPr="0057052C" w:rsidRDefault="00373E33">
      <w:pPr>
        <w:rPr>
          <w:rFonts w:asciiTheme="minorHAnsi" w:hAnsiTheme="minorHAnsi" w:cstheme="minorHAnsi"/>
          <w:bCs/>
          <w:sz w:val="22"/>
          <w:szCs w:val="22"/>
        </w:rPr>
      </w:pP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Nakon testiranja, ovlaštena osoba upoznaje radnika s rezultatom te ga, ako je utvrđena alkoholiziranost, obavještava da time čini povredu radne dužnosti, zbog koje će biti privremeno udaljen s rada i protiv njega pokrenut odgovarajući postupak.</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Zapisnik potpisuju ovlaštena osoba, svjedok i ispitanik. U slučaju odbijanja potpisa, činjenica se unosi u zapisnik, koji potpisuju ovlaštena osoba i svjedok. Odbijanje potpisa ne utječe na vjerodostojnost dokaza o alkoholiziranosti.</w:t>
      </w:r>
    </w:p>
    <w:p w:rsidR="00373E33" w:rsidRPr="0057052C" w:rsidRDefault="00000000">
      <w:pPr>
        <w:jc w:val="both"/>
        <w:rPr>
          <w:rFonts w:asciiTheme="minorHAnsi" w:hAnsiTheme="minorHAnsi" w:cstheme="minorHAnsi"/>
          <w:bCs/>
          <w:sz w:val="22"/>
          <w:szCs w:val="22"/>
        </w:rPr>
      </w:pPr>
      <w:r w:rsidRPr="0057052C">
        <w:rPr>
          <w:rFonts w:asciiTheme="minorHAnsi" w:hAnsiTheme="minorHAnsi" w:cstheme="minorHAnsi"/>
          <w:bCs/>
          <w:sz w:val="22"/>
          <w:szCs w:val="22"/>
        </w:rPr>
        <w:t>Testiranju može biti podvrgnut i radnik koji se nalazi u programu liječenja ili rehabilitacije od ovisnosti.</w:t>
      </w:r>
    </w:p>
    <w:p w:rsidR="00373E33" w:rsidRPr="0057052C" w:rsidRDefault="00373E33">
      <w:pPr>
        <w:rPr>
          <w:rFonts w:asciiTheme="minorHAnsi" w:hAnsiTheme="minorHAnsi" w:cstheme="minorHAnsi"/>
          <w:bCs/>
          <w:i/>
          <w:iCs/>
          <w:sz w:val="22"/>
          <w:szCs w:val="22"/>
        </w:rPr>
      </w:pPr>
    </w:p>
    <w:p w:rsidR="00373E33" w:rsidRPr="0057052C" w:rsidRDefault="00000000">
      <w:pPr>
        <w:jc w:val="center"/>
        <w:rPr>
          <w:rFonts w:asciiTheme="minorHAnsi" w:hAnsiTheme="minorHAnsi" w:cstheme="minorHAnsi"/>
          <w:bCs/>
          <w:i/>
          <w:iCs/>
          <w:sz w:val="22"/>
          <w:szCs w:val="22"/>
        </w:rPr>
      </w:pPr>
      <w:r w:rsidRPr="0057052C">
        <w:rPr>
          <w:rFonts w:asciiTheme="minorHAnsi" w:hAnsiTheme="minorHAnsi" w:cstheme="minorHAnsi"/>
          <w:bCs/>
          <w:i/>
          <w:iCs/>
          <w:sz w:val="22"/>
          <w:szCs w:val="22"/>
        </w:rPr>
        <w:t>Članak 10.</w:t>
      </w:r>
    </w:p>
    <w:p w:rsidR="00373E33" w:rsidRPr="0057052C" w:rsidRDefault="00373E33">
      <w:pPr>
        <w:rPr>
          <w:rFonts w:asciiTheme="minorHAnsi" w:hAnsiTheme="minorHAnsi" w:cstheme="minorHAnsi"/>
          <w:bCs/>
          <w:sz w:val="22"/>
          <w:szCs w:val="22"/>
        </w:rPr>
      </w:pP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Radnik kod kojega je utvrđena prisutnost alkohola bit će odmah privremeno udaljen s mjesta rada.</w:t>
      </w: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Ovlaštena osoba organizira siguran prijevoz radnika do mjesta stanovanja (na trošak radnika) ili kontaktira člana obitelji. Ako radnik odbije ponuđeni prijevoz, Zavod ne snosi odgovornost za njegovo ponašanje nakon napuštanja radnog mjesta. O postupanju se sastavlja službena zabilješka, koja se prilaže zapisniku.</w:t>
      </w: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Kao sastavni dio zapisnika obvezno navesti na koji je način radnik otpremljen s mjesta</w:t>
      </w:r>
      <w:r w:rsidR="007339AE" w:rsidRPr="0057052C">
        <w:rPr>
          <w:rFonts w:asciiTheme="minorHAnsi" w:hAnsiTheme="minorHAnsi" w:cstheme="minorHAnsi"/>
          <w:bCs/>
          <w:sz w:val="22"/>
          <w:szCs w:val="22"/>
        </w:rPr>
        <w:t>.</w:t>
      </w:r>
    </w:p>
    <w:p w:rsidR="00373E33" w:rsidRDefault="00373E33">
      <w:pPr>
        <w:rPr>
          <w:rFonts w:asciiTheme="minorHAnsi" w:hAnsiTheme="minorHAnsi" w:cstheme="minorHAnsi"/>
          <w:bCs/>
          <w:sz w:val="22"/>
          <w:szCs w:val="22"/>
        </w:rPr>
      </w:pPr>
    </w:p>
    <w:p w:rsidR="0057052C" w:rsidRPr="0057052C" w:rsidRDefault="0057052C">
      <w:pPr>
        <w:rPr>
          <w:rFonts w:asciiTheme="minorHAnsi" w:hAnsiTheme="minorHAnsi" w:cstheme="minorHAnsi"/>
          <w:bCs/>
          <w:sz w:val="22"/>
          <w:szCs w:val="22"/>
        </w:rPr>
      </w:pPr>
    </w:p>
    <w:p w:rsidR="00373E33" w:rsidRPr="0057052C" w:rsidRDefault="00000000">
      <w:pPr>
        <w:rPr>
          <w:rFonts w:asciiTheme="minorHAnsi" w:hAnsiTheme="minorHAnsi" w:cstheme="minorHAnsi"/>
          <w:bCs/>
          <w:sz w:val="22"/>
          <w:szCs w:val="22"/>
        </w:rPr>
      </w:pPr>
      <w:r w:rsidRPr="0057052C">
        <w:rPr>
          <w:rFonts w:asciiTheme="minorHAnsi" w:hAnsiTheme="minorHAnsi" w:cstheme="minorHAnsi"/>
          <w:bCs/>
          <w:sz w:val="22"/>
          <w:szCs w:val="22"/>
        </w:rPr>
        <w:t xml:space="preserve">Prilog broj 1. </w:t>
      </w:r>
      <w:bookmarkStart w:id="0" w:name="_Hlk215755406"/>
      <w:r w:rsidRPr="0057052C">
        <w:rPr>
          <w:rFonts w:asciiTheme="minorHAnsi" w:hAnsiTheme="minorHAnsi" w:cstheme="minorHAnsi"/>
          <w:bCs/>
          <w:sz w:val="22"/>
          <w:szCs w:val="22"/>
        </w:rPr>
        <w:t xml:space="preserve">Pravilnika o testiranju na alkohol, droge i druga sredstva ovisnosti na radnom mjestu </w:t>
      </w:r>
      <w:bookmarkEnd w:id="0"/>
      <w:r w:rsidRPr="0057052C">
        <w:rPr>
          <w:rFonts w:asciiTheme="minorHAnsi" w:hAnsiTheme="minorHAnsi" w:cstheme="minorHAnsi"/>
          <w:bCs/>
          <w:sz w:val="22"/>
          <w:szCs w:val="22"/>
        </w:rPr>
        <w:t>koji čini sastavni dio Pravilnika o testiranju na alkohol, droge i druga sredstva ovisnosti na radnom mjestu utvrdilo je Upravno vijeće Zavoda za hitnu medicinu Sisačko-moslavačke županije na svojoj</w:t>
      </w:r>
      <w:r w:rsidR="007339AE" w:rsidRPr="0057052C">
        <w:rPr>
          <w:rFonts w:asciiTheme="minorHAnsi" w:hAnsiTheme="minorHAnsi" w:cstheme="minorHAnsi"/>
          <w:bCs/>
          <w:sz w:val="22"/>
          <w:szCs w:val="22"/>
        </w:rPr>
        <w:t xml:space="preserve"> 40.</w:t>
      </w:r>
      <w:r w:rsidRPr="0057052C">
        <w:rPr>
          <w:rFonts w:asciiTheme="minorHAnsi" w:hAnsiTheme="minorHAnsi" w:cstheme="minorHAnsi"/>
          <w:bCs/>
          <w:sz w:val="22"/>
          <w:szCs w:val="22"/>
        </w:rPr>
        <w:t xml:space="preserve"> sjednici održanoj </w:t>
      </w:r>
      <w:r w:rsidR="007339AE" w:rsidRPr="0057052C">
        <w:rPr>
          <w:rFonts w:asciiTheme="minorHAnsi" w:hAnsiTheme="minorHAnsi" w:cstheme="minorHAnsi"/>
          <w:bCs/>
          <w:sz w:val="22"/>
          <w:szCs w:val="22"/>
        </w:rPr>
        <w:t>15. prosinca 2025.</w:t>
      </w:r>
      <w:r w:rsidR="0057052C" w:rsidRPr="0057052C">
        <w:rPr>
          <w:rFonts w:asciiTheme="minorHAnsi" w:hAnsiTheme="minorHAnsi" w:cstheme="minorHAnsi"/>
          <w:bCs/>
          <w:sz w:val="22"/>
          <w:szCs w:val="22"/>
        </w:rPr>
        <w:t xml:space="preserve"> godine.</w:t>
      </w:r>
    </w:p>
    <w:p w:rsidR="00373E33" w:rsidRPr="0057052C" w:rsidRDefault="00373E33">
      <w:pPr>
        <w:rPr>
          <w:rFonts w:asciiTheme="minorHAnsi" w:hAnsiTheme="minorHAnsi" w:cstheme="minorHAnsi"/>
          <w:bCs/>
          <w:sz w:val="22"/>
          <w:szCs w:val="22"/>
        </w:rPr>
      </w:pPr>
    </w:p>
    <w:p w:rsidR="00373E33" w:rsidRPr="0057052C" w:rsidRDefault="00373E33">
      <w:pPr>
        <w:rPr>
          <w:rFonts w:asciiTheme="minorHAnsi" w:hAnsiTheme="minorHAnsi" w:cstheme="minorHAnsi"/>
          <w:bCs/>
          <w:sz w:val="22"/>
          <w:szCs w:val="22"/>
        </w:rPr>
      </w:pPr>
    </w:p>
    <w:tbl>
      <w:tblPr>
        <w:tblW w:w="3330" w:type="dxa"/>
        <w:tblInd w:w="5738" w:type="dxa"/>
        <w:tblLayout w:type="fixed"/>
        <w:tblCellMar>
          <w:left w:w="0" w:type="dxa"/>
          <w:right w:w="0" w:type="dxa"/>
        </w:tblCellMar>
        <w:tblLook w:val="04A0" w:firstRow="1" w:lastRow="0" w:firstColumn="1" w:lastColumn="0" w:noHBand="0" w:noVBand="1"/>
      </w:tblPr>
      <w:tblGrid>
        <w:gridCol w:w="3330"/>
      </w:tblGrid>
      <w:tr w:rsidR="00373E33" w:rsidRPr="0057052C">
        <w:tc>
          <w:tcPr>
            <w:tcW w:w="3330" w:type="dxa"/>
          </w:tcPr>
          <w:p w:rsidR="00373E33" w:rsidRPr="0057052C" w:rsidRDefault="00000000">
            <w:pPr>
              <w:widowControl w:val="0"/>
              <w:suppressAutoHyphens/>
              <w:jc w:val="center"/>
              <w:rPr>
                <w:rFonts w:ascii="Calibri" w:eastAsia="Calibri" w:hAnsi="Calibri" w:cs="Calibri"/>
                <w:sz w:val="22"/>
                <w:szCs w:val="22"/>
                <w:lang w:eastAsia="en-US"/>
              </w:rPr>
            </w:pPr>
            <w:r w:rsidRPr="0057052C">
              <w:rPr>
                <w:rFonts w:ascii="Calibri" w:eastAsia="Calibri" w:hAnsi="Calibri" w:cs="Calibri"/>
                <w:sz w:val="22"/>
                <w:szCs w:val="22"/>
                <w:lang w:eastAsia="en-US"/>
              </w:rPr>
              <w:t>UPRAVNO VIJEĆE</w:t>
            </w:r>
          </w:p>
        </w:tc>
      </w:tr>
      <w:tr w:rsidR="00373E33" w:rsidRPr="0057052C">
        <w:tc>
          <w:tcPr>
            <w:tcW w:w="3330" w:type="dxa"/>
          </w:tcPr>
          <w:p w:rsidR="00373E33" w:rsidRPr="0057052C" w:rsidRDefault="00000000">
            <w:pPr>
              <w:widowControl w:val="0"/>
              <w:suppressAutoHyphens/>
              <w:jc w:val="center"/>
              <w:rPr>
                <w:rFonts w:ascii="Calibri" w:eastAsia="Calibri" w:hAnsi="Calibri" w:cs="Calibri"/>
                <w:sz w:val="22"/>
                <w:szCs w:val="22"/>
                <w:lang w:eastAsia="en-US"/>
              </w:rPr>
            </w:pPr>
            <w:r w:rsidRPr="0057052C">
              <w:rPr>
                <w:rFonts w:ascii="Calibri" w:eastAsia="Calibri" w:hAnsi="Calibri" w:cs="Calibri"/>
                <w:sz w:val="22"/>
                <w:szCs w:val="22"/>
                <w:lang w:eastAsia="en-US"/>
              </w:rPr>
              <w:t>Predsjednica</w:t>
            </w:r>
          </w:p>
        </w:tc>
      </w:tr>
      <w:tr w:rsidR="00373E33" w:rsidRPr="0057052C">
        <w:tc>
          <w:tcPr>
            <w:tcW w:w="3330" w:type="dxa"/>
          </w:tcPr>
          <w:p w:rsidR="00373E33" w:rsidRPr="0057052C" w:rsidRDefault="00373E33">
            <w:pPr>
              <w:widowControl w:val="0"/>
              <w:suppressAutoHyphens/>
              <w:jc w:val="center"/>
              <w:rPr>
                <w:rFonts w:ascii="Calibri" w:eastAsia="Calibri" w:hAnsi="Calibri" w:cs="Calibri"/>
                <w:sz w:val="22"/>
                <w:szCs w:val="22"/>
                <w:lang w:eastAsia="en-US"/>
              </w:rPr>
            </w:pPr>
          </w:p>
        </w:tc>
      </w:tr>
      <w:tr w:rsidR="00373E33" w:rsidRPr="0057052C">
        <w:tc>
          <w:tcPr>
            <w:tcW w:w="3330" w:type="dxa"/>
          </w:tcPr>
          <w:p w:rsidR="00373E33" w:rsidRPr="0057052C" w:rsidRDefault="00000000">
            <w:pPr>
              <w:widowControl w:val="0"/>
              <w:suppressAutoHyphens/>
              <w:jc w:val="center"/>
              <w:rPr>
                <w:rFonts w:ascii="Calibri" w:eastAsia="Calibri" w:hAnsi="Calibri" w:cs="Calibri"/>
                <w:sz w:val="22"/>
                <w:szCs w:val="22"/>
                <w:lang w:eastAsia="en-US"/>
              </w:rPr>
            </w:pPr>
            <w:r w:rsidRPr="0057052C">
              <w:rPr>
                <w:rFonts w:ascii="Calibri" w:eastAsia="Calibri" w:hAnsi="Calibri" w:cs="Calibri"/>
                <w:sz w:val="22"/>
                <w:szCs w:val="22"/>
                <w:lang w:eastAsia="en-US"/>
              </w:rPr>
              <w:t>Ivanka Roksandić, prof.</w:t>
            </w:r>
          </w:p>
        </w:tc>
      </w:tr>
    </w:tbl>
    <w:p w:rsidR="00373E33" w:rsidRPr="0057052C" w:rsidRDefault="00373E33">
      <w:pPr>
        <w:rPr>
          <w:rFonts w:asciiTheme="minorHAnsi" w:hAnsiTheme="minorHAnsi" w:cstheme="minorHAnsi"/>
          <w:bCs/>
          <w:color w:val="EE0000"/>
          <w:sz w:val="22"/>
          <w:szCs w:val="22"/>
        </w:rPr>
      </w:pPr>
    </w:p>
    <w:sectPr w:rsidR="00373E33" w:rsidRPr="0057052C">
      <w:headerReference w:type="default" r:id="rId9"/>
      <w:pgSz w:w="11906" w:h="16838"/>
      <w:pgMar w:top="1417"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87E" w:rsidRDefault="00E7187E">
      <w:r>
        <w:separator/>
      </w:r>
    </w:p>
  </w:endnote>
  <w:endnote w:type="continuationSeparator" w:id="0">
    <w:p w:rsidR="00E7187E" w:rsidRDefault="00E7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default"/>
    <w:sig w:usb0="80000287" w:usb1="280F3C52"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87E" w:rsidRDefault="00E7187E">
      <w:r>
        <w:separator/>
      </w:r>
    </w:p>
  </w:footnote>
  <w:footnote w:type="continuationSeparator" w:id="0">
    <w:p w:rsidR="00E7187E" w:rsidRDefault="00E7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E33" w:rsidRDefault="00373E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E338F"/>
    <w:multiLevelType w:val="multilevel"/>
    <w:tmpl w:val="2A8E33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71165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77B"/>
    <w:rsid w:val="00001BE5"/>
    <w:rsid w:val="000020C4"/>
    <w:rsid w:val="000131D3"/>
    <w:rsid w:val="00020E43"/>
    <w:rsid w:val="00021B19"/>
    <w:rsid w:val="00021FA2"/>
    <w:rsid w:val="000248BB"/>
    <w:rsid w:val="00025074"/>
    <w:rsid w:val="000444AA"/>
    <w:rsid w:val="00050267"/>
    <w:rsid w:val="00054A92"/>
    <w:rsid w:val="00066E1C"/>
    <w:rsid w:val="000760BC"/>
    <w:rsid w:val="0007701F"/>
    <w:rsid w:val="000813A8"/>
    <w:rsid w:val="00086BB8"/>
    <w:rsid w:val="000A0916"/>
    <w:rsid w:val="000A12D5"/>
    <w:rsid w:val="000B1872"/>
    <w:rsid w:val="000B2F2B"/>
    <w:rsid w:val="000B6AEF"/>
    <w:rsid w:val="000D59E4"/>
    <w:rsid w:val="000E134A"/>
    <w:rsid w:val="000F70F2"/>
    <w:rsid w:val="00121961"/>
    <w:rsid w:val="00151814"/>
    <w:rsid w:val="00192BA0"/>
    <w:rsid w:val="00192D67"/>
    <w:rsid w:val="00197914"/>
    <w:rsid w:val="001C63F5"/>
    <w:rsid w:val="001D2813"/>
    <w:rsid w:val="001E1F29"/>
    <w:rsid w:val="001F506B"/>
    <w:rsid w:val="001F66E1"/>
    <w:rsid w:val="00200CE3"/>
    <w:rsid w:val="0020500B"/>
    <w:rsid w:val="002176DF"/>
    <w:rsid w:val="00236E53"/>
    <w:rsid w:val="00257C1B"/>
    <w:rsid w:val="002608F8"/>
    <w:rsid w:val="00267F00"/>
    <w:rsid w:val="0028089F"/>
    <w:rsid w:val="00293E4E"/>
    <w:rsid w:val="002B14B6"/>
    <w:rsid w:val="002B2001"/>
    <w:rsid w:val="002C3A9E"/>
    <w:rsid w:val="002E167B"/>
    <w:rsid w:val="00301BCF"/>
    <w:rsid w:val="0031277B"/>
    <w:rsid w:val="00313BDC"/>
    <w:rsid w:val="00315F7F"/>
    <w:rsid w:val="00341B9E"/>
    <w:rsid w:val="0035662D"/>
    <w:rsid w:val="00357DC7"/>
    <w:rsid w:val="00367BDC"/>
    <w:rsid w:val="003701A9"/>
    <w:rsid w:val="00373E33"/>
    <w:rsid w:val="00376F49"/>
    <w:rsid w:val="003A199C"/>
    <w:rsid w:val="003B0313"/>
    <w:rsid w:val="003E5E8C"/>
    <w:rsid w:val="00406DBF"/>
    <w:rsid w:val="00411EC3"/>
    <w:rsid w:val="00424CC0"/>
    <w:rsid w:val="004346C6"/>
    <w:rsid w:val="0043484A"/>
    <w:rsid w:val="00440FBF"/>
    <w:rsid w:val="00444FDE"/>
    <w:rsid w:val="00461CBF"/>
    <w:rsid w:val="00473C34"/>
    <w:rsid w:val="004A054A"/>
    <w:rsid w:val="004A5CBB"/>
    <w:rsid w:val="004A65BD"/>
    <w:rsid w:val="004C51BE"/>
    <w:rsid w:val="004D45F8"/>
    <w:rsid w:val="004E3DC3"/>
    <w:rsid w:val="00506D9D"/>
    <w:rsid w:val="00513EE2"/>
    <w:rsid w:val="0053533D"/>
    <w:rsid w:val="00540A0E"/>
    <w:rsid w:val="005473B9"/>
    <w:rsid w:val="00557D5D"/>
    <w:rsid w:val="0057052C"/>
    <w:rsid w:val="00572E5E"/>
    <w:rsid w:val="005900A2"/>
    <w:rsid w:val="005910CE"/>
    <w:rsid w:val="005A05E8"/>
    <w:rsid w:val="005B2857"/>
    <w:rsid w:val="005C74BC"/>
    <w:rsid w:val="005D0FF4"/>
    <w:rsid w:val="005D38D4"/>
    <w:rsid w:val="005D67F7"/>
    <w:rsid w:val="00600204"/>
    <w:rsid w:val="00621F95"/>
    <w:rsid w:val="00633BAE"/>
    <w:rsid w:val="00641591"/>
    <w:rsid w:val="00654235"/>
    <w:rsid w:val="006823AA"/>
    <w:rsid w:val="006A1A41"/>
    <w:rsid w:val="006B3AAD"/>
    <w:rsid w:val="006D5DF0"/>
    <w:rsid w:val="006E014B"/>
    <w:rsid w:val="006F3D99"/>
    <w:rsid w:val="00706035"/>
    <w:rsid w:val="00717311"/>
    <w:rsid w:val="007339AE"/>
    <w:rsid w:val="0073753A"/>
    <w:rsid w:val="007525E2"/>
    <w:rsid w:val="00761836"/>
    <w:rsid w:val="00777DE9"/>
    <w:rsid w:val="007A5894"/>
    <w:rsid w:val="007B0A5A"/>
    <w:rsid w:val="007B35A1"/>
    <w:rsid w:val="007C57FE"/>
    <w:rsid w:val="007D15C8"/>
    <w:rsid w:val="008121B1"/>
    <w:rsid w:val="008346F8"/>
    <w:rsid w:val="008576FE"/>
    <w:rsid w:val="00861071"/>
    <w:rsid w:val="008746A7"/>
    <w:rsid w:val="00877C3E"/>
    <w:rsid w:val="008C6412"/>
    <w:rsid w:val="008E41AA"/>
    <w:rsid w:val="008F67F9"/>
    <w:rsid w:val="00910526"/>
    <w:rsid w:val="00914428"/>
    <w:rsid w:val="00916E90"/>
    <w:rsid w:val="00917DD4"/>
    <w:rsid w:val="009304C2"/>
    <w:rsid w:val="0093389B"/>
    <w:rsid w:val="00951163"/>
    <w:rsid w:val="00955E2D"/>
    <w:rsid w:val="009651E3"/>
    <w:rsid w:val="00972BDD"/>
    <w:rsid w:val="00980DD3"/>
    <w:rsid w:val="00984703"/>
    <w:rsid w:val="009924D1"/>
    <w:rsid w:val="009942E0"/>
    <w:rsid w:val="009B5B21"/>
    <w:rsid w:val="009B688E"/>
    <w:rsid w:val="009C7997"/>
    <w:rsid w:val="009D7228"/>
    <w:rsid w:val="009E0999"/>
    <w:rsid w:val="009E33A1"/>
    <w:rsid w:val="009F6DA5"/>
    <w:rsid w:val="00A046E7"/>
    <w:rsid w:val="00A14CB3"/>
    <w:rsid w:val="00A27FA1"/>
    <w:rsid w:val="00A3141C"/>
    <w:rsid w:val="00A54AE4"/>
    <w:rsid w:val="00A632CE"/>
    <w:rsid w:val="00A71284"/>
    <w:rsid w:val="00A72F92"/>
    <w:rsid w:val="00A83098"/>
    <w:rsid w:val="00AA30DF"/>
    <w:rsid w:val="00AA3AD4"/>
    <w:rsid w:val="00AC1167"/>
    <w:rsid w:val="00AD17DD"/>
    <w:rsid w:val="00AE345B"/>
    <w:rsid w:val="00B05B4A"/>
    <w:rsid w:val="00B20636"/>
    <w:rsid w:val="00B2196B"/>
    <w:rsid w:val="00B31AA7"/>
    <w:rsid w:val="00B32994"/>
    <w:rsid w:val="00B43178"/>
    <w:rsid w:val="00B4668B"/>
    <w:rsid w:val="00B63FA0"/>
    <w:rsid w:val="00B67329"/>
    <w:rsid w:val="00B7280E"/>
    <w:rsid w:val="00B80160"/>
    <w:rsid w:val="00B93FFB"/>
    <w:rsid w:val="00BB1602"/>
    <w:rsid w:val="00BB69D8"/>
    <w:rsid w:val="00BC348E"/>
    <w:rsid w:val="00BC52A3"/>
    <w:rsid w:val="00BF3511"/>
    <w:rsid w:val="00C0100D"/>
    <w:rsid w:val="00C17B7A"/>
    <w:rsid w:val="00C20AF5"/>
    <w:rsid w:val="00C225FC"/>
    <w:rsid w:val="00C5088E"/>
    <w:rsid w:val="00C61B66"/>
    <w:rsid w:val="00C64408"/>
    <w:rsid w:val="00C65418"/>
    <w:rsid w:val="00C7611F"/>
    <w:rsid w:val="00C92710"/>
    <w:rsid w:val="00CB0B23"/>
    <w:rsid w:val="00CB6CD7"/>
    <w:rsid w:val="00CF2CF3"/>
    <w:rsid w:val="00CF55BA"/>
    <w:rsid w:val="00D02F34"/>
    <w:rsid w:val="00D04DB0"/>
    <w:rsid w:val="00D42D64"/>
    <w:rsid w:val="00D456E4"/>
    <w:rsid w:val="00D71FCF"/>
    <w:rsid w:val="00D72C7F"/>
    <w:rsid w:val="00D80A07"/>
    <w:rsid w:val="00D968DF"/>
    <w:rsid w:val="00DB0647"/>
    <w:rsid w:val="00DD15F8"/>
    <w:rsid w:val="00DD26AC"/>
    <w:rsid w:val="00DD2C91"/>
    <w:rsid w:val="00DE03BA"/>
    <w:rsid w:val="00DE2018"/>
    <w:rsid w:val="00DE5B88"/>
    <w:rsid w:val="00DF76E6"/>
    <w:rsid w:val="00E0135C"/>
    <w:rsid w:val="00E02447"/>
    <w:rsid w:val="00E12F47"/>
    <w:rsid w:val="00E23BCE"/>
    <w:rsid w:val="00E312CD"/>
    <w:rsid w:val="00E3456B"/>
    <w:rsid w:val="00E7187E"/>
    <w:rsid w:val="00E74EB4"/>
    <w:rsid w:val="00E76E68"/>
    <w:rsid w:val="00E84715"/>
    <w:rsid w:val="00E86182"/>
    <w:rsid w:val="00E904E3"/>
    <w:rsid w:val="00EA0A1B"/>
    <w:rsid w:val="00ED7E88"/>
    <w:rsid w:val="00EE186C"/>
    <w:rsid w:val="00EE4FE1"/>
    <w:rsid w:val="00EF25EF"/>
    <w:rsid w:val="00EF2FB0"/>
    <w:rsid w:val="00F11A30"/>
    <w:rsid w:val="00F564D9"/>
    <w:rsid w:val="00F57357"/>
    <w:rsid w:val="00F60515"/>
    <w:rsid w:val="00F675B3"/>
    <w:rsid w:val="00F72B2B"/>
    <w:rsid w:val="00F73B9E"/>
    <w:rsid w:val="00F84048"/>
    <w:rsid w:val="00F94365"/>
    <w:rsid w:val="00FA414C"/>
    <w:rsid w:val="00FA53AE"/>
    <w:rsid w:val="00FC0BCF"/>
    <w:rsid w:val="00FC3C11"/>
    <w:rsid w:val="00FC7F44"/>
    <w:rsid w:val="00FD0EDB"/>
    <w:rsid w:val="00FD2E6C"/>
    <w:rsid w:val="00FD36E8"/>
    <w:rsid w:val="00FF0D95"/>
    <w:rsid w:val="00FF6F53"/>
    <w:rsid w:val="5FD43215"/>
  </w:rsids>
  <m:mathPr>
    <m:mathFont m:val="Cambria Math"/>
    <m:brkBin m:val="before"/>
    <m:brkBinSub m:val="--"/>
    <m:smallFrac m:val="0"/>
    <m:dispDef/>
    <m:lMargin m:val="0"/>
    <m:rMargin m:val="0"/>
    <m:defJc m:val="centerGroup"/>
    <m:wrapIndent m:val="1440"/>
    <m:intLim m:val="subSup"/>
    <m:naryLim m:val="undOvr"/>
  </m:mathPr>
  <w:themeFontLang w:val="hr-H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4F6"/>
  <w15:docId w15:val="{4E8F5CC7-36D8-422C-8461-1E773DA7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Tahoma" w:hAnsi="Tahoma" w:cs="Tahoma"/>
      <w:sz w:val="16"/>
      <w:szCs w:val="16"/>
    </w:rPr>
  </w:style>
  <w:style w:type="paragraph" w:styleId="Tijeloteksta">
    <w:name w:val="Body Text"/>
    <w:basedOn w:val="Normal"/>
    <w:pPr>
      <w:spacing w:after="140" w:line="288" w:lineRule="auto"/>
    </w:pPr>
  </w:style>
  <w:style w:type="paragraph" w:styleId="Opisslike">
    <w:name w:val="caption"/>
    <w:basedOn w:val="Normal"/>
    <w:qFormat/>
    <w:pPr>
      <w:suppressLineNumbers/>
      <w:spacing w:before="120" w:after="120"/>
    </w:pPr>
    <w:rPr>
      <w:rFonts w:cs="Lucida Sans"/>
      <w:i/>
      <w:iCs/>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unhideWhenUsed/>
    <w:qFormat/>
    <w:rPr>
      <w:sz w:val="20"/>
      <w:szCs w:val="20"/>
    </w:rPr>
  </w:style>
  <w:style w:type="paragraph" w:styleId="Predmetkomentara">
    <w:name w:val="annotation subject"/>
    <w:basedOn w:val="Tekstkomentara"/>
    <w:link w:val="PredmetkomentaraChar"/>
    <w:uiPriority w:val="99"/>
    <w:semiHidden/>
    <w:unhideWhenUsed/>
    <w:qFormat/>
    <w:rPr>
      <w:b/>
      <w:bCs/>
    </w:rPr>
  </w:style>
  <w:style w:type="paragraph" w:styleId="Podnoje">
    <w:name w:val="footer"/>
    <w:basedOn w:val="Normal"/>
    <w:link w:val="PodnojeChar"/>
    <w:uiPriority w:val="99"/>
    <w:unhideWhenUsed/>
    <w:pPr>
      <w:tabs>
        <w:tab w:val="center" w:pos="4536"/>
        <w:tab w:val="right" w:pos="9072"/>
      </w:tabs>
    </w:pPr>
  </w:style>
  <w:style w:type="paragraph" w:styleId="Zaglavlje">
    <w:name w:val="header"/>
    <w:basedOn w:val="Normal"/>
    <w:link w:val="ZaglavljeChar"/>
    <w:uiPriority w:val="99"/>
    <w:unhideWhenUsed/>
    <w:pPr>
      <w:tabs>
        <w:tab w:val="center" w:pos="4536"/>
        <w:tab w:val="right" w:pos="9072"/>
      </w:tabs>
    </w:pPr>
  </w:style>
  <w:style w:type="paragraph" w:styleId="Popis">
    <w:name w:val="List"/>
    <w:basedOn w:val="Tijeloteksta"/>
    <w:rPr>
      <w:rFonts w:cs="Lucida Sans"/>
    </w:rPr>
  </w:style>
  <w:style w:type="character" w:customStyle="1" w:styleId="TekstbaloniaChar">
    <w:name w:val="Tekst balončića Char"/>
    <w:basedOn w:val="Zadanifontodlomka"/>
    <w:link w:val="Tekstbalonia"/>
    <w:uiPriority w:val="99"/>
    <w:semiHidden/>
    <w:qFormat/>
    <w:rPr>
      <w:rFonts w:ascii="Tahoma" w:eastAsia="Times New Roman" w:hAnsi="Tahoma" w:cs="Tahoma"/>
      <w:sz w:val="16"/>
      <w:szCs w:val="16"/>
      <w:lang w:eastAsia="hr-HR"/>
    </w:rPr>
  </w:style>
  <w:style w:type="character" w:customStyle="1" w:styleId="TekstkomentaraChar">
    <w:name w:val="Tekst komentara Char"/>
    <w:basedOn w:val="Zadanifontodlomka"/>
    <w:link w:val="Tekstkomentara"/>
    <w:uiPriority w:val="99"/>
    <w:qFormat/>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qFormat/>
    <w:rPr>
      <w:rFonts w:ascii="Times New Roman" w:eastAsia="Times New Roman" w:hAnsi="Times New Roman" w:cs="Times New Roman"/>
      <w:b/>
      <w:bCs/>
      <w:sz w:val="20"/>
      <w:szCs w:val="20"/>
      <w:lang w:eastAsia="hr-HR"/>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styleId="Odlomakpopisa">
    <w:name w:val="List Paragraph"/>
    <w:basedOn w:val="Normal"/>
    <w:uiPriority w:val="34"/>
    <w:qFormat/>
    <w:pPr>
      <w:ind w:left="720"/>
      <w:contextualSpacing/>
    </w:pPr>
  </w:style>
  <w:style w:type="character" w:customStyle="1" w:styleId="ZaglavljeChar">
    <w:name w:val="Zaglavlje Char"/>
    <w:basedOn w:val="Zadanifontodlomka"/>
    <w:link w:val="Zaglavlje"/>
    <w:uiPriority w:val="99"/>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18ACD-6410-4FB2-A673-F418FB4E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2542</TotalTime>
  <Pages>3</Pages>
  <Words>697</Words>
  <Characters>3978</Characters>
  <Application>Microsoft Office Word</Application>
  <DocSecurity>0</DocSecurity>
  <Lines>33</Lines>
  <Paragraphs>9</Paragraphs>
  <ScaleCrop>false</ScaleCrop>
  <Company>Hewlett-Packard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Niki_Zvono_M</dc:creator>
  <cp:lastModifiedBy>Administrator ZHM SMŽ</cp:lastModifiedBy>
  <cp:revision>65</cp:revision>
  <cp:lastPrinted>2019-10-17T15:27:00Z</cp:lastPrinted>
  <dcterms:created xsi:type="dcterms:W3CDTF">2024-09-05T10:01:00Z</dcterms:created>
  <dcterms:modified xsi:type="dcterms:W3CDTF">2025-12-10T07:56:00Z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1033-12.2.0.22549</vt:lpwstr>
  </property>
  <property fmtid="{D5CDD505-2E9C-101B-9397-08002B2CF9AE}" pid="10" name="ICV">
    <vt:lpwstr>15960039A2704C208D6C61660E0438A7_12</vt:lpwstr>
  </property>
</Properties>
</file>